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4" w:rsidRPr="00FF6304" w:rsidRDefault="00FF6304" w:rsidP="00FF63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F6304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2C119859" wp14:editId="3A0E5118">
            <wp:extent cx="3714750" cy="552450"/>
            <wp:effectExtent l="0" t="0" r="0" b="0"/>
            <wp:docPr id="1" name="Рисунок 1" descr="ТюменьЭнергоСбы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юменьЭнергоСбы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304">
        <w:rPr>
          <w:rFonts w:ascii="Arial" w:eastAsia="Times New Roman" w:hAnsi="Arial" w:cs="Arial"/>
          <w:noProof/>
          <w:color w:val="0096D7"/>
          <w:sz w:val="24"/>
          <w:szCs w:val="24"/>
          <w:lang w:eastAsia="ru-RU"/>
        </w:rPr>
        <w:drawing>
          <wp:inline distT="0" distB="0" distL="0" distR="0" wp14:anchorId="11310000" wp14:editId="1FD9C696">
            <wp:extent cx="552450" cy="571500"/>
            <wp:effectExtent l="0" t="0" r="0" b="0"/>
            <wp:docPr id="2" name="Рисунок 2" descr="Восток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ток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04" w:rsidRPr="00FF6304" w:rsidRDefault="00FF6304" w:rsidP="00FF63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F6304" w:rsidRPr="00FF6304" w:rsidRDefault="00FF6304" w:rsidP="00FF6304">
      <w:pPr>
        <w:spacing w:before="100" w:beforeAutospacing="1" w:after="240" w:line="240" w:lineRule="auto"/>
        <w:outlineLvl w:val="1"/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</w:pPr>
      <w:r w:rsidRPr="00FF6304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Тарифы на электрическую энергию с </w:t>
      </w:r>
      <w:bookmarkStart w:id="0" w:name="_GoBack"/>
      <w:r w:rsidRPr="00FF6304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 xml:space="preserve">01.07.2013 г. по 31.12.2013 </w:t>
      </w:r>
      <w:bookmarkEnd w:id="0"/>
      <w:r w:rsidRPr="00FF6304">
        <w:rPr>
          <w:rFonts w:ascii="Arial" w:eastAsia="Times New Roman" w:hAnsi="Arial" w:cs="Arial"/>
          <w:color w:val="1778B5"/>
          <w:kern w:val="36"/>
          <w:sz w:val="34"/>
          <w:szCs w:val="34"/>
          <w:lang w:eastAsia="ru-RU"/>
        </w:rPr>
        <w:t>г.</w:t>
      </w:r>
    </w:p>
    <w:p w:rsidR="00FF6304" w:rsidRPr="00FF6304" w:rsidRDefault="00FF6304" w:rsidP="00FF6304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r w:rsidRPr="00FF6304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Тарифы на электрическую энергию, поставляемую населению и приравненным к нему категориям потребителей, на территории Тюменской области, Ханты-Мансийского автономного округа – Югры и Ямало-Ненецкого автономного округа </w:t>
      </w:r>
    </w:p>
    <w:p w:rsidR="00FF6304" w:rsidRPr="00FF6304" w:rsidRDefault="00FF6304" w:rsidP="00FF6304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6E6E6E"/>
          <w:sz w:val="20"/>
          <w:szCs w:val="20"/>
          <w:lang w:eastAsia="ru-RU"/>
        </w:rPr>
      </w:pPr>
      <w:proofErr w:type="gramStart"/>
      <w:r w:rsidRPr="00FF6304">
        <w:rPr>
          <w:rFonts w:ascii="Arial" w:eastAsia="Times New Roman" w:hAnsi="Arial" w:cs="Arial"/>
          <w:bCs/>
          <w:i/>
          <w:color w:val="6E6E6E"/>
          <w:sz w:val="20"/>
          <w:szCs w:val="20"/>
          <w:lang w:eastAsia="ru-RU"/>
        </w:rPr>
        <w:t>(Установлены решением  Региональной энергетической комиссии Тюменской области, Ханты-Мансийского автономного округа, Ямало-Ненецкого автономного округа № 400 от 27 ноября 2012г. </w:t>
      </w:r>
      <w:r w:rsidRPr="00FF6304">
        <w:rPr>
          <w:rFonts w:ascii="Arial" w:eastAsia="Times New Roman" w:hAnsi="Arial" w:cs="Arial"/>
          <w:color w:val="6E6E6E"/>
          <w:sz w:val="20"/>
          <w:szCs w:val="20"/>
          <w:lang w:eastAsia="ru-RU"/>
        </w:rPr>
        <w:t> </w:t>
      </w:r>
      <w:proofErr w:type="gramEnd"/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 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0"/>
        <w:gridCol w:w="4920"/>
        <w:gridCol w:w="1440"/>
        <w:gridCol w:w="2160"/>
      </w:tblGrid>
      <w:tr w:rsidR="00FF6304" w:rsidRPr="00FF6304" w:rsidTr="00FF6304">
        <w:trPr>
          <w:trHeight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N  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 xml:space="preserve"> </w:t>
            </w:r>
            <w:proofErr w:type="gramStart"/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>п</w:t>
            </w:r>
            <w:proofErr w:type="gramEnd"/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>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Показатель (группы потребителей    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 xml:space="preserve">       с разбивкой по ставкам и        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 xml:space="preserve">    дифференциацией по зонам суток)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Единица  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>измерения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Цена (тариф)  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>с 01.07.2013 по 31.12.2013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1.  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Население (тарифы указаны с учетом НДС)      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1.1.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Население, за исключением 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указанного</w:t>
            </w:r>
            <w:proofErr w:type="gramEnd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в </w:t>
            </w:r>
            <w:hyperlink r:id="rId9" w:anchor="Par173" w:history="1">
              <w:r w:rsidRPr="00FF6304">
                <w:rPr>
                  <w:rFonts w:ascii="Calibri" w:eastAsia="Times New Roman" w:hAnsi="Calibri" w:cs="Calibri"/>
                  <w:sz w:val="20"/>
                  <w:szCs w:val="20"/>
                </w:rPr>
                <w:t>пунктах 1.2</w:t>
              </w:r>
            </w:hyperlink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и </w:t>
            </w:r>
            <w:hyperlink r:id="rId10" w:anchor="Par193" w:history="1">
              <w:r w:rsidRPr="00FF6304">
                <w:rPr>
                  <w:rFonts w:ascii="Calibri" w:eastAsia="Times New Roman" w:hAnsi="Calibri" w:cs="Calibri"/>
                  <w:sz w:val="20"/>
                  <w:szCs w:val="20"/>
                </w:rPr>
                <w:t>1.3</w:t>
              </w:r>
            </w:hyperlink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1.1.1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Одноставочный</w:t>
            </w:r>
            <w:proofErr w:type="spellEnd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2,17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1.1.2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двум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2,18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1,09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1.1.3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трем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2,20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2,17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1,09      </w:t>
            </w:r>
          </w:p>
        </w:tc>
      </w:tr>
      <w:tr w:rsidR="00FF6304" w:rsidRPr="00FF6304" w:rsidTr="00FF6304">
        <w:trPr>
          <w:trHeight w:val="6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1.2.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Население, проживающее в городских населенных пунктах в домах,     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 xml:space="preserve">оборудованных в установленном порядке стационарными электроплитами 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  <w:t xml:space="preserve">и (или) электроотопительными установками     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1.2.1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Одноставочный</w:t>
            </w:r>
            <w:proofErr w:type="spellEnd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1,52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1.2.2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двум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1,53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0,77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1.2.3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трем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1,54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1,52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0,77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1.3.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Население, проживающее в сельских населенных пунктах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1.3.1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Одноставочный</w:t>
            </w:r>
            <w:proofErr w:type="spellEnd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1,52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1.3.2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двум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1,53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0,77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1.3.3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трем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1,54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1,52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0,77      </w:t>
            </w:r>
          </w:p>
        </w:tc>
      </w:tr>
      <w:tr w:rsidR="00FF6304" w:rsidRPr="00FF6304" w:rsidTr="00FF6304">
        <w:trPr>
          <w:trHeight w:val="4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2.  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t>Потребители, приравненные к населению (тарифы указаны с учетом НДС)</w:t>
            </w:r>
            <w:r w:rsidRPr="00FF6304">
              <w:rPr>
                <w:rFonts w:ascii="Calibri" w:eastAsia="Times New Roman" w:hAnsi="Calibri" w:cs="Calibri"/>
                <w:b/>
                <w:sz w:val="20"/>
                <w:szCs w:val="20"/>
              </w:rPr>
              <w:br/>
            </w:r>
            <w:hyperlink r:id="rId11" w:anchor="Par232" w:history="1">
              <w:r w:rsidRPr="00FF6304">
                <w:rPr>
                  <w:rFonts w:ascii="Calibri" w:eastAsia="Times New Roman" w:hAnsi="Calibri" w:cs="Calibri"/>
                  <w:b/>
                  <w:sz w:val="20"/>
                  <w:szCs w:val="20"/>
                </w:rPr>
                <w:t>&lt;*&gt;</w:t>
              </w:r>
            </w:hyperlink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2.1. 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Одноставочный</w:t>
            </w:r>
            <w:proofErr w:type="spellEnd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тариф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2,17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2.2.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двум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Дневная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2,18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1,09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2.3. </w:t>
            </w:r>
          </w:p>
        </w:tc>
        <w:tc>
          <w:tcPr>
            <w:tcW w:w="85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Тариф, дифференцированный по трем зонам суток                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Пиковая зона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2,20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Полупиковая зона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2,17      </w:t>
            </w:r>
          </w:p>
        </w:tc>
      </w:tr>
      <w:tr w:rsidR="00FF6304" w:rsidRPr="00FF6304" w:rsidTr="00FF6304"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Ночная зона                          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руб./</w:t>
            </w:r>
            <w:proofErr w:type="spell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кВт</w:t>
            </w:r>
            <w:proofErr w:type="gramStart"/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304" w:rsidRPr="00FF6304" w:rsidRDefault="00FF6304" w:rsidP="00FF6304">
            <w:pPr>
              <w:spacing w:before="100" w:beforeAutospacing="1" w:after="100" w:afterAutospacing="1" w:line="360" w:lineRule="atLeas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F6304">
              <w:rPr>
                <w:rFonts w:ascii="Calibri" w:eastAsia="Times New Roman" w:hAnsi="Calibri" w:cs="Calibri"/>
                <w:sz w:val="20"/>
                <w:szCs w:val="20"/>
              </w:rPr>
              <w:t xml:space="preserve">      1,09      </w:t>
            </w:r>
          </w:p>
        </w:tc>
      </w:tr>
    </w:tbl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 </w:t>
      </w:r>
      <w:proofErr w:type="gramStart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&lt;*&gt; 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</w:r>
      <w:proofErr w:type="spellStart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наймодатели</w:t>
      </w:r>
      <w:proofErr w:type="spellEnd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(или уполномоченные ими лица), предоставляющие гражданам жилые помещения специализированного жилищного фонда: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жилые помещения</w:t>
      </w:r>
      <w:proofErr w:type="gramEnd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населения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деятельности.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Садоводческие, огороднические или дачные некоммерческие объединения граждан - некоммерческие организации, учрежденные гражданами на добровольных началах для содействия ее членам в решении общих социально-хозяйственных задач ведения садоводства, огородничества и дачного хозяйства.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Юридические лица, в части приобретаемого объема электрической энергии (мощности) в целях потребления осужденными в помещениях для их содержания, при условии наличия раздельного учета для указанных помещений.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Юридические и физические лица, в части приобретаемого объема электрической энергии (мощности) в целях потребления на коммунально-бытовые нужды в населенных пунктах, жилых зонах при воинских частях, рассчитывающихся по договору энергоснабжения (купли-продажи) по общему счетчику.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Содержащиеся за счет прихожан религиозные организации.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proofErr w:type="gramStart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Гарантирующие поставщики, </w:t>
      </w:r>
      <w:proofErr w:type="spellStart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энергосбытовые</w:t>
      </w:r>
      <w:proofErr w:type="spellEnd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, </w:t>
      </w:r>
      <w:proofErr w:type="spellStart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энергоснабжающие</w:t>
      </w:r>
      <w:proofErr w:type="spellEnd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используемого для осуществления коммерческой (профессиональной) деятельности.</w:t>
      </w:r>
      <w:proofErr w:type="gramEnd"/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Хозяйственные постройки физических лиц (погреба, сараи и иные сооружения аналогичного назначения).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Некоммерческие объединения граждан (гаражно-строительные, гаражные кооперативы) и отдельно стоящие гаражи, принадлежащие гражданам, в части приобретаемого объема электрической энергии в целях потребления на коммунально-бытовые нужды граждан и не используемого для осуществления коммерческой деятельности.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Примечание:</w:t>
      </w:r>
    </w:p>
    <w:p w:rsidR="00FF6304" w:rsidRPr="00FF6304" w:rsidRDefault="00FF6304" w:rsidP="00FF6304">
      <w:pPr>
        <w:widowControl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1. Интервалы тарифных зон суток для расчетов по тарифам дифференцируются по зонам суток, в соответствии с </w:t>
      </w:r>
      <w:hyperlink r:id="rId12" w:history="1">
        <w:r w:rsidRPr="00FF6304">
          <w:rPr>
            <w:rFonts w:ascii="Calibri" w:eastAsia="Times New Roman" w:hAnsi="Calibri" w:cs="Calibri"/>
            <w:sz w:val="20"/>
            <w:szCs w:val="20"/>
            <w:lang w:eastAsia="ru-RU"/>
          </w:rPr>
          <w:t>приказом</w:t>
        </w:r>
      </w:hyperlink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Федеральной службы по тарифам от 27.09.2012 N 643-э "Об интервалах тарифных зон суток для </w:t>
      </w:r>
      <w:proofErr w:type="spellStart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>энергозон</w:t>
      </w:r>
      <w:proofErr w:type="spellEnd"/>
      <w:r w:rsidRPr="00FF6304">
        <w:rPr>
          <w:rFonts w:ascii="Calibri" w:eastAsia="Times New Roman" w:hAnsi="Calibri" w:cs="Calibri"/>
          <w:color w:val="6E6E6E"/>
          <w:sz w:val="20"/>
          <w:szCs w:val="20"/>
          <w:lang w:eastAsia="ru-RU"/>
        </w:rPr>
        <w:t xml:space="preserve"> (ОЭС) России по месяцам 2012 года".</w:t>
      </w:r>
    </w:p>
    <w:p w:rsidR="001E66FF" w:rsidRDefault="001E66FF" w:rsidP="00FF6304">
      <w:pPr>
        <w:jc w:val="both"/>
      </w:pPr>
    </w:p>
    <w:sectPr w:rsidR="001E66FF" w:rsidSect="00FF630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04"/>
    <w:rsid w:val="001E66FF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ostok-electra.ru/" TargetMode="External"/><Relationship Id="rId12" Type="http://schemas.openxmlformats.org/officeDocument/2006/relationships/hyperlink" Target="consultantplus://offline/ref=A23EE2574A9BA2F9F4BC97577D8E8557EAD694749349B264E54E7118EEtAr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tesbyt.ru/itariff/471" TargetMode="External"/><Relationship Id="rId5" Type="http://schemas.openxmlformats.org/officeDocument/2006/relationships/hyperlink" Target="http://tesbyt.ru/" TargetMode="External"/><Relationship Id="rId10" Type="http://schemas.openxmlformats.org/officeDocument/2006/relationships/hyperlink" Target="http://tesbyt.ru/itariff/4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sbyt.ru/itariff/47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1005</Words>
  <Characters>5732</Characters>
  <Application>Microsoft Office Word</Application>
  <DocSecurity>0</DocSecurity>
  <Lines>47</Lines>
  <Paragraphs>13</Paragraphs>
  <ScaleCrop>false</ScaleCrop>
  <Company>MICROSOFT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2015-03-12T06:18:00Z</dcterms:created>
  <dcterms:modified xsi:type="dcterms:W3CDTF">2015-03-12T06:20:00Z</dcterms:modified>
</cp:coreProperties>
</file>