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8A0" w:rsidRPr="003218A0" w:rsidRDefault="003218A0" w:rsidP="003218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218A0">
        <w:rPr>
          <w:rFonts w:ascii="Arial" w:eastAsia="Times New Roman" w:hAnsi="Arial" w:cs="Arial"/>
          <w:noProof/>
          <w:color w:val="0096D7"/>
          <w:sz w:val="24"/>
          <w:szCs w:val="24"/>
          <w:lang w:eastAsia="ru-RU"/>
        </w:rPr>
        <w:drawing>
          <wp:inline distT="0" distB="0" distL="0" distR="0" wp14:anchorId="253056B5" wp14:editId="4A7B2EAD">
            <wp:extent cx="3714750" cy="552450"/>
            <wp:effectExtent l="0" t="0" r="0" b="0"/>
            <wp:docPr id="1" name="Рисунок 1" descr="ТюменьЭнергоСбы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юменьЭнергоСбы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8A0">
        <w:rPr>
          <w:rFonts w:ascii="Arial" w:eastAsia="Times New Roman" w:hAnsi="Arial" w:cs="Arial"/>
          <w:noProof/>
          <w:color w:val="0096D7"/>
          <w:sz w:val="24"/>
          <w:szCs w:val="24"/>
          <w:lang w:eastAsia="ru-RU"/>
        </w:rPr>
        <w:drawing>
          <wp:inline distT="0" distB="0" distL="0" distR="0" wp14:anchorId="1552EB56" wp14:editId="291AEE27">
            <wp:extent cx="552450" cy="571500"/>
            <wp:effectExtent l="0" t="0" r="0" b="0"/>
            <wp:docPr id="2" name="Рисунок 2" descr="Восток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осток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8A0" w:rsidRPr="003218A0" w:rsidRDefault="003218A0" w:rsidP="003218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18A0" w:rsidRPr="003218A0" w:rsidRDefault="003218A0" w:rsidP="003218A0">
      <w:pPr>
        <w:spacing w:before="100" w:beforeAutospacing="1" w:after="240" w:line="240" w:lineRule="auto"/>
        <w:outlineLvl w:val="1"/>
        <w:rPr>
          <w:rFonts w:ascii="Arial" w:eastAsia="Times New Roman" w:hAnsi="Arial" w:cs="Arial"/>
          <w:color w:val="1778B5"/>
          <w:kern w:val="36"/>
          <w:sz w:val="34"/>
          <w:szCs w:val="34"/>
          <w:lang w:eastAsia="ru-RU"/>
        </w:rPr>
      </w:pPr>
      <w:r w:rsidRPr="003218A0">
        <w:rPr>
          <w:rFonts w:ascii="Arial" w:eastAsia="Times New Roman" w:hAnsi="Arial" w:cs="Arial"/>
          <w:color w:val="1778B5"/>
          <w:kern w:val="36"/>
          <w:sz w:val="34"/>
          <w:szCs w:val="34"/>
          <w:lang w:eastAsia="ru-RU"/>
        </w:rPr>
        <w:t>Тарифы на электрическую энергию с 01.01.2013 г. по 30.06.2013 г.</w:t>
      </w:r>
    </w:p>
    <w:p w:rsidR="003218A0" w:rsidRPr="003218A0" w:rsidRDefault="003218A0" w:rsidP="003218A0">
      <w:pPr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6E6E6E"/>
          <w:sz w:val="20"/>
          <w:szCs w:val="20"/>
          <w:lang w:eastAsia="ru-RU"/>
        </w:rPr>
      </w:pPr>
      <w:r w:rsidRPr="003218A0">
        <w:rPr>
          <w:rFonts w:ascii="Arial" w:eastAsia="Times New Roman" w:hAnsi="Arial" w:cs="Arial"/>
          <w:color w:val="6E6E6E"/>
          <w:sz w:val="20"/>
          <w:szCs w:val="20"/>
          <w:lang w:eastAsia="ru-RU"/>
        </w:rPr>
        <w:t>Цены (тарифы) на электрическую энергию поставляемую населению и приравненным к нему категориям потребителей, на территории Тюменской области, Ханты-Мансийского автономного округа – Югры и Ямало-Ненецкого автономного округа </w:t>
      </w:r>
    </w:p>
    <w:p w:rsidR="003218A0" w:rsidRPr="003218A0" w:rsidRDefault="003218A0" w:rsidP="003218A0">
      <w:pPr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6E6E6E"/>
          <w:sz w:val="20"/>
          <w:szCs w:val="20"/>
          <w:lang w:eastAsia="ru-RU"/>
        </w:rPr>
      </w:pPr>
      <w:proofErr w:type="gramStart"/>
      <w:r w:rsidRPr="003218A0">
        <w:rPr>
          <w:rFonts w:ascii="Arial" w:eastAsia="Times New Roman" w:hAnsi="Arial" w:cs="Arial"/>
          <w:bCs/>
          <w:i/>
          <w:color w:val="6E6E6E"/>
          <w:sz w:val="20"/>
          <w:szCs w:val="20"/>
          <w:lang w:eastAsia="ru-RU"/>
        </w:rPr>
        <w:t>(Установлены решением  Региональной энергетической комиссии Тюменской области, Ханты-Мансийского автономного округа, Ямало-Ненецкого автономного округа № 400 от 27 ноября 2012г.</w:t>
      </w:r>
      <w:proofErr w:type="gramEnd"/>
      <w:r w:rsidRPr="003218A0">
        <w:rPr>
          <w:rFonts w:ascii="Arial" w:eastAsia="Times New Roman" w:hAnsi="Arial" w:cs="Arial"/>
          <w:bCs/>
          <w:i/>
          <w:color w:val="6E6E6E"/>
          <w:sz w:val="20"/>
          <w:szCs w:val="20"/>
          <w:lang w:eastAsia="ru-RU"/>
        </w:rPr>
        <w:t xml:space="preserve"> </w:t>
      </w:r>
      <w:proofErr w:type="gramStart"/>
      <w:r w:rsidRPr="003218A0">
        <w:rPr>
          <w:rFonts w:ascii="Arial" w:eastAsia="Times New Roman" w:hAnsi="Arial" w:cs="Arial"/>
          <w:bCs/>
          <w:i/>
          <w:color w:val="6E6E6E"/>
          <w:sz w:val="20"/>
          <w:szCs w:val="20"/>
          <w:lang w:eastAsia="ru-RU"/>
        </w:rPr>
        <w:t>Тарифы действительны с 1 января 2013г. по 30 июня 2013г.)</w:t>
      </w:r>
      <w:proofErr w:type="gramEnd"/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40"/>
        <w:gridCol w:w="4920"/>
        <w:gridCol w:w="1440"/>
        <w:gridCol w:w="2160"/>
      </w:tblGrid>
      <w:tr w:rsidR="003218A0" w:rsidRPr="003218A0" w:rsidTr="003218A0">
        <w:trPr>
          <w:trHeight w:val="6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 xml:space="preserve">№ </w:t>
            </w:r>
            <w:r w:rsidRPr="003218A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br/>
              <w:t xml:space="preserve"> </w:t>
            </w:r>
            <w:proofErr w:type="gramStart"/>
            <w:r w:rsidRPr="003218A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3218A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Показатель (группы потребителей с разбивкой по ставкам и   дифференциацией по зонам суток)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 xml:space="preserve">Единица  </w:t>
            </w:r>
            <w:r w:rsidRPr="003218A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 xml:space="preserve">Цена (тариф)  </w:t>
            </w:r>
            <w:r w:rsidRPr="003218A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br/>
              <w:t xml:space="preserve">с 01.01.2013 по </w:t>
            </w:r>
            <w:r w:rsidRPr="003218A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br/>
              <w:t xml:space="preserve">   30.06.2013</w:t>
            </w:r>
          </w:p>
        </w:tc>
      </w:tr>
      <w:tr w:rsidR="003218A0" w:rsidRPr="003218A0" w:rsidTr="003218A0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 xml:space="preserve">1.   </w:t>
            </w:r>
          </w:p>
        </w:tc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 xml:space="preserve">Население (тарифы указаны с учетом НДС)                            </w:t>
            </w:r>
          </w:p>
        </w:tc>
      </w:tr>
      <w:tr w:rsidR="003218A0" w:rsidRPr="003218A0" w:rsidTr="003218A0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 xml:space="preserve">1.1. </w:t>
            </w:r>
          </w:p>
        </w:tc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 xml:space="preserve">Население, за исключением </w:t>
            </w:r>
            <w:proofErr w:type="gramStart"/>
            <w:r w:rsidRPr="003218A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указанного</w:t>
            </w:r>
            <w:proofErr w:type="gramEnd"/>
            <w:r w:rsidRPr="003218A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 xml:space="preserve"> в </w:t>
            </w:r>
            <w:hyperlink r:id="rId9" w:anchor="Par62" w:history="1">
              <w:r w:rsidRPr="003218A0">
                <w:rPr>
                  <w:rFonts w:ascii="Calibri" w:eastAsia="Times New Roman" w:hAnsi="Calibri" w:cs="Calibri"/>
                  <w:b/>
                  <w:sz w:val="20"/>
                  <w:szCs w:val="20"/>
                  <w:lang w:eastAsia="ru-RU"/>
                </w:rPr>
                <w:t>пунктах 1.2</w:t>
              </w:r>
            </w:hyperlink>
            <w:r w:rsidRPr="003218A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 xml:space="preserve"> и </w:t>
            </w:r>
            <w:hyperlink r:id="rId10" w:anchor="Par82" w:history="1">
              <w:r w:rsidRPr="003218A0">
                <w:rPr>
                  <w:rFonts w:ascii="Calibri" w:eastAsia="Times New Roman" w:hAnsi="Calibri" w:cs="Calibri"/>
                  <w:b/>
                  <w:sz w:val="20"/>
                  <w:szCs w:val="20"/>
                  <w:lang w:eastAsia="ru-RU"/>
                </w:rPr>
                <w:t>1.3</w:t>
              </w:r>
            </w:hyperlink>
          </w:p>
        </w:tc>
      </w:tr>
      <w:tr w:rsidR="003218A0" w:rsidRPr="003218A0" w:rsidTr="003218A0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тариф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руб./</w:t>
            </w:r>
            <w:proofErr w:type="spell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кВт</w:t>
            </w:r>
            <w:proofErr w:type="gram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     1,94      </w:t>
            </w:r>
          </w:p>
        </w:tc>
      </w:tr>
      <w:tr w:rsidR="003218A0" w:rsidRPr="003218A0" w:rsidTr="003218A0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Тариф, дифференцированный по двум зонам суток                      </w:t>
            </w:r>
          </w:p>
        </w:tc>
      </w:tr>
      <w:tr w:rsidR="003218A0" w:rsidRPr="003218A0" w:rsidTr="003218A0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Дневная зона    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руб./</w:t>
            </w:r>
            <w:proofErr w:type="spell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кВт</w:t>
            </w:r>
            <w:proofErr w:type="gram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    1,949      </w:t>
            </w:r>
          </w:p>
        </w:tc>
      </w:tr>
      <w:tr w:rsidR="003218A0" w:rsidRPr="003218A0" w:rsidTr="003218A0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Ночная зона     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руб./</w:t>
            </w:r>
            <w:proofErr w:type="spell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кВт</w:t>
            </w:r>
            <w:proofErr w:type="gram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     0,97      </w:t>
            </w:r>
          </w:p>
        </w:tc>
      </w:tr>
      <w:tr w:rsidR="003218A0" w:rsidRPr="003218A0" w:rsidTr="003218A0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Тариф, дифференцированный по трем зонам суток                      </w:t>
            </w:r>
          </w:p>
        </w:tc>
      </w:tr>
      <w:tr w:rsidR="003218A0" w:rsidRPr="003218A0" w:rsidTr="003218A0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Пиковая зона    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руб./</w:t>
            </w:r>
            <w:proofErr w:type="spell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кВт</w:t>
            </w:r>
            <w:proofErr w:type="gram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     1,95      </w:t>
            </w:r>
          </w:p>
        </w:tc>
      </w:tr>
      <w:tr w:rsidR="003218A0" w:rsidRPr="003218A0" w:rsidTr="003218A0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Полупиковая зона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руб./</w:t>
            </w:r>
            <w:proofErr w:type="spell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кВт</w:t>
            </w:r>
            <w:proofErr w:type="gram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     1,94      </w:t>
            </w:r>
          </w:p>
        </w:tc>
      </w:tr>
      <w:tr w:rsidR="003218A0" w:rsidRPr="003218A0" w:rsidTr="003218A0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Ночная зона     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руб./</w:t>
            </w:r>
            <w:proofErr w:type="spell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кВт</w:t>
            </w:r>
            <w:proofErr w:type="gram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     0,97      </w:t>
            </w:r>
          </w:p>
        </w:tc>
      </w:tr>
      <w:tr w:rsidR="003218A0" w:rsidRPr="003218A0" w:rsidTr="003218A0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 xml:space="preserve">1.2. </w:t>
            </w:r>
          </w:p>
        </w:tc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 xml:space="preserve">Население, проживающее в городских населенных пунктах в домах,     </w:t>
            </w:r>
            <w:r w:rsidRPr="003218A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br/>
              <w:t xml:space="preserve">оборудованных в установленном порядке стационарными электроплитами </w:t>
            </w:r>
            <w:r w:rsidRPr="003218A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br/>
              <w:t xml:space="preserve">и (или) электроотопительными установками                           </w:t>
            </w:r>
          </w:p>
        </w:tc>
      </w:tr>
      <w:tr w:rsidR="003218A0" w:rsidRPr="003218A0" w:rsidTr="003218A0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тариф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руб./</w:t>
            </w:r>
            <w:proofErr w:type="spell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кВт</w:t>
            </w:r>
            <w:proofErr w:type="gram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     1,36      </w:t>
            </w:r>
          </w:p>
        </w:tc>
      </w:tr>
      <w:tr w:rsidR="003218A0" w:rsidRPr="003218A0" w:rsidTr="003218A0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Тариф, дифференцированный по двум зонам суток                      </w:t>
            </w:r>
          </w:p>
        </w:tc>
      </w:tr>
      <w:tr w:rsidR="003218A0" w:rsidRPr="003218A0" w:rsidTr="003218A0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Дневная зона    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руб./</w:t>
            </w:r>
            <w:proofErr w:type="spell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кВт</w:t>
            </w:r>
            <w:proofErr w:type="gram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    1,369      </w:t>
            </w:r>
          </w:p>
        </w:tc>
      </w:tr>
      <w:tr w:rsidR="003218A0" w:rsidRPr="003218A0" w:rsidTr="003218A0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Ночная зона     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руб./</w:t>
            </w:r>
            <w:proofErr w:type="spell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кВт</w:t>
            </w:r>
            <w:proofErr w:type="gram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     0,68      </w:t>
            </w:r>
          </w:p>
        </w:tc>
      </w:tr>
      <w:tr w:rsidR="003218A0" w:rsidRPr="003218A0" w:rsidTr="003218A0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Тариф, дифференцированный по трем зонам суток                      </w:t>
            </w:r>
          </w:p>
        </w:tc>
      </w:tr>
      <w:tr w:rsidR="003218A0" w:rsidRPr="003218A0" w:rsidTr="003218A0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Пиковая зона    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руб./</w:t>
            </w:r>
            <w:proofErr w:type="spell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кВт</w:t>
            </w:r>
            <w:proofErr w:type="gram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     1,37      </w:t>
            </w:r>
          </w:p>
        </w:tc>
      </w:tr>
      <w:tr w:rsidR="003218A0" w:rsidRPr="003218A0" w:rsidTr="003218A0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Полупиковая зона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руб./</w:t>
            </w:r>
            <w:proofErr w:type="spell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кВт</w:t>
            </w:r>
            <w:proofErr w:type="gram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     1,36      </w:t>
            </w:r>
          </w:p>
        </w:tc>
      </w:tr>
      <w:tr w:rsidR="003218A0" w:rsidRPr="003218A0" w:rsidTr="003218A0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Ночная зона     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руб./</w:t>
            </w:r>
            <w:proofErr w:type="spell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кВт</w:t>
            </w:r>
            <w:proofErr w:type="gram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     0,68      </w:t>
            </w:r>
          </w:p>
        </w:tc>
      </w:tr>
      <w:tr w:rsidR="003218A0" w:rsidRPr="003218A0" w:rsidTr="003218A0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 xml:space="preserve">1.3. </w:t>
            </w:r>
          </w:p>
        </w:tc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 xml:space="preserve">Население, проживающее в сельских населенных пунктах               </w:t>
            </w:r>
          </w:p>
        </w:tc>
      </w:tr>
      <w:tr w:rsidR="003218A0" w:rsidRPr="003218A0" w:rsidTr="003218A0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тариф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руб./</w:t>
            </w:r>
            <w:proofErr w:type="spell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кВт</w:t>
            </w:r>
            <w:proofErr w:type="gram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     1,36      </w:t>
            </w:r>
          </w:p>
        </w:tc>
      </w:tr>
      <w:tr w:rsidR="003218A0" w:rsidRPr="003218A0" w:rsidTr="003218A0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Тариф, дифференцированный по двум зонам суток                      </w:t>
            </w:r>
          </w:p>
        </w:tc>
      </w:tr>
      <w:tr w:rsidR="003218A0" w:rsidRPr="003218A0" w:rsidTr="003218A0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Дневная зона    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руб./</w:t>
            </w:r>
            <w:proofErr w:type="spell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кВт</w:t>
            </w:r>
            <w:proofErr w:type="gram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    1,369      </w:t>
            </w:r>
          </w:p>
        </w:tc>
      </w:tr>
      <w:tr w:rsidR="003218A0" w:rsidRPr="003218A0" w:rsidTr="003218A0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Ночная зона     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руб./</w:t>
            </w:r>
            <w:proofErr w:type="spell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кВт</w:t>
            </w:r>
            <w:proofErr w:type="gram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     0,68      </w:t>
            </w:r>
          </w:p>
        </w:tc>
      </w:tr>
      <w:tr w:rsidR="003218A0" w:rsidRPr="003218A0" w:rsidTr="003218A0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1.3.3</w:t>
            </w:r>
          </w:p>
        </w:tc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Тариф, дифференцированный по трем зонам суток                      </w:t>
            </w:r>
          </w:p>
        </w:tc>
      </w:tr>
      <w:tr w:rsidR="003218A0" w:rsidRPr="003218A0" w:rsidTr="003218A0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Пиковая зона    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руб./</w:t>
            </w:r>
            <w:proofErr w:type="spell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кВт</w:t>
            </w:r>
            <w:proofErr w:type="gram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     1,37      </w:t>
            </w:r>
          </w:p>
        </w:tc>
        <w:bookmarkStart w:id="0" w:name="_GoBack"/>
        <w:bookmarkEnd w:id="0"/>
      </w:tr>
      <w:tr w:rsidR="003218A0" w:rsidRPr="003218A0" w:rsidTr="003218A0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Полупиковая зона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руб./</w:t>
            </w:r>
            <w:proofErr w:type="spell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кВт</w:t>
            </w:r>
            <w:proofErr w:type="gram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     1,36      </w:t>
            </w:r>
          </w:p>
        </w:tc>
      </w:tr>
      <w:tr w:rsidR="003218A0" w:rsidRPr="003218A0" w:rsidTr="003218A0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Ночная зона     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руб./</w:t>
            </w:r>
            <w:proofErr w:type="spell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кВт</w:t>
            </w:r>
            <w:proofErr w:type="gram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     0,68      </w:t>
            </w:r>
          </w:p>
        </w:tc>
      </w:tr>
      <w:tr w:rsidR="003218A0" w:rsidRPr="003218A0" w:rsidTr="003218A0">
        <w:trPr>
          <w:trHeight w:val="4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 xml:space="preserve">2.   </w:t>
            </w:r>
          </w:p>
        </w:tc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 xml:space="preserve">Потребители, приравненные к населению (тарифы указаны с учетом НДС) </w:t>
            </w:r>
            <w:hyperlink r:id="rId11" w:anchor="Par121" w:history="1">
              <w:r w:rsidRPr="003218A0">
                <w:rPr>
                  <w:rFonts w:ascii="Calibri" w:eastAsia="Times New Roman" w:hAnsi="Calibri" w:cs="Calibri"/>
                  <w:b/>
                  <w:sz w:val="20"/>
                  <w:szCs w:val="20"/>
                  <w:lang w:eastAsia="ru-RU"/>
                </w:rPr>
                <w:t>&lt;*&gt;</w:t>
              </w:r>
            </w:hyperlink>
          </w:p>
        </w:tc>
      </w:tr>
      <w:tr w:rsidR="003218A0" w:rsidRPr="003218A0" w:rsidTr="003218A0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2.1. 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тариф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руб./</w:t>
            </w:r>
            <w:proofErr w:type="spell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кВт</w:t>
            </w:r>
            <w:proofErr w:type="gram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     1,94      </w:t>
            </w:r>
          </w:p>
        </w:tc>
      </w:tr>
      <w:tr w:rsidR="003218A0" w:rsidRPr="003218A0" w:rsidTr="003218A0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2.2. </w:t>
            </w:r>
          </w:p>
        </w:tc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Тариф, дифференцированный по двум зонам суток                      </w:t>
            </w:r>
          </w:p>
        </w:tc>
      </w:tr>
      <w:tr w:rsidR="003218A0" w:rsidRPr="003218A0" w:rsidTr="003218A0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Дневная зона    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руб./</w:t>
            </w:r>
            <w:proofErr w:type="spell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кВт</w:t>
            </w:r>
            <w:proofErr w:type="gram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    1,949      </w:t>
            </w:r>
          </w:p>
        </w:tc>
      </w:tr>
      <w:tr w:rsidR="003218A0" w:rsidRPr="003218A0" w:rsidTr="003218A0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Ночная зона     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руб./</w:t>
            </w:r>
            <w:proofErr w:type="spell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кВт</w:t>
            </w:r>
            <w:proofErr w:type="gram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     0,97      </w:t>
            </w:r>
          </w:p>
        </w:tc>
      </w:tr>
      <w:tr w:rsidR="003218A0" w:rsidRPr="003218A0" w:rsidTr="003218A0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2.3. </w:t>
            </w:r>
          </w:p>
        </w:tc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Тариф, дифференцированный по трем зонам суток                      </w:t>
            </w:r>
          </w:p>
        </w:tc>
      </w:tr>
      <w:tr w:rsidR="003218A0" w:rsidRPr="003218A0" w:rsidTr="003218A0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Пиковая зона    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руб./</w:t>
            </w:r>
            <w:proofErr w:type="spell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кВт</w:t>
            </w:r>
            <w:proofErr w:type="gram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     1,95      </w:t>
            </w:r>
          </w:p>
        </w:tc>
      </w:tr>
      <w:tr w:rsidR="003218A0" w:rsidRPr="003218A0" w:rsidTr="003218A0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Полупиковая зона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руб./</w:t>
            </w:r>
            <w:proofErr w:type="spell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кВт</w:t>
            </w:r>
            <w:proofErr w:type="gram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     1,94      </w:t>
            </w:r>
          </w:p>
        </w:tc>
      </w:tr>
      <w:tr w:rsidR="003218A0" w:rsidRPr="003218A0" w:rsidTr="003218A0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Ночная зона     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руб./</w:t>
            </w:r>
            <w:proofErr w:type="spell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кВт</w:t>
            </w:r>
            <w:proofErr w:type="gramStart"/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A0" w:rsidRPr="003218A0" w:rsidRDefault="003218A0" w:rsidP="003218A0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8A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     0,97      </w:t>
            </w:r>
          </w:p>
        </w:tc>
      </w:tr>
    </w:tbl>
    <w:p w:rsidR="003218A0" w:rsidRPr="003218A0" w:rsidRDefault="003218A0" w:rsidP="003218A0">
      <w:pPr>
        <w:widowControl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6E6E6E"/>
          <w:sz w:val="20"/>
          <w:szCs w:val="20"/>
          <w:lang w:eastAsia="ru-RU"/>
        </w:rPr>
      </w:pPr>
      <w:r w:rsidRPr="003218A0">
        <w:rPr>
          <w:rFonts w:ascii="Calibri" w:eastAsia="Times New Roman" w:hAnsi="Calibri" w:cs="Calibri"/>
          <w:color w:val="6E6E6E"/>
          <w:sz w:val="20"/>
          <w:szCs w:val="20"/>
          <w:lang w:eastAsia="ru-RU"/>
        </w:rPr>
        <w:t> </w:t>
      </w:r>
      <w:proofErr w:type="gramStart"/>
      <w:r w:rsidRPr="003218A0">
        <w:rPr>
          <w:rFonts w:ascii="Calibri" w:eastAsia="Times New Roman" w:hAnsi="Calibri" w:cs="Calibri"/>
          <w:color w:val="6E6E6E"/>
          <w:sz w:val="20"/>
          <w:szCs w:val="20"/>
          <w:lang w:eastAsia="ru-RU"/>
        </w:rPr>
        <w:t xml:space="preserve">&lt;*&gt; 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</w:t>
      </w:r>
      <w:proofErr w:type="spellStart"/>
      <w:r w:rsidRPr="003218A0">
        <w:rPr>
          <w:rFonts w:ascii="Calibri" w:eastAsia="Times New Roman" w:hAnsi="Calibri" w:cs="Calibri"/>
          <w:color w:val="6E6E6E"/>
          <w:sz w:val="20"/>
          <w:szCs w:val="20"/>
          <w:lang w:eastAsia="ru-RU"/>
        </w:rPr>
        <w:t>наймодатели</w:t>
      </w:r>
      <w:proofErr w:type="spellEnd"/>
      <w:r w:rsidRPr="003218A0">
        <w:rPr>
          <w:rFonts w:ascii="Calibri" w:eastAsia="Times New Roman" w:hAnsi="Calibri" w:cs="Calibri"/>
          <w:color w:val="6E6E6E"/>
          <w:sz w:val="20"/>
          <w:szCs w:val="20"/>
          <w:lang w:eastAsia="ru-RU"/>
        </w:rPr>
        <w:t xml:space="preserve"> (или уполномоченные ими лица), предоставляющие гражданам жилые помещения специализированного жилищного фонда: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жилые помещения</w:t>
      </w:r>
      <w:proofErr w:type="gramEnd"/>
      <w:r w:rsidRPr="003218A0">
        <w:rPr>
          <w:rFonts w:ascii="Calibri" w:eastAsia="Times New Roman" w:hAnsi="Calibri" w:cs="Calibri"/>
          <w:color w:val="6E6E6E"/>
          <w:sz w:val="20"/>
          <w:szCs w:val="20"/>
          <w:lang w:eastAsia="ru-RU"/>
        </w:rPr>
        <w:t xml:space="preserve">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населения и объемах электроэнергии, израсходованной на места общего пользования в целях потребления на коммунально-бытовые нужды граждан и не используемого для осуществления коммерческой (профессиональной) деятельности.</w:t>
      </w:r>
    </w:p>
    <w:p w:rsidR="003218A0" w:rsidRPr="003218A0" w:rsidRDefault="003218A0" w:rsidP="003218A0">
      <w:pPr>
        <w:widowControl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6E6E6E"/>
          <w:sz w:val="20"/>
          <w:szCs w:val="20"/>
          <w:lang w:eastAsia="ru-RU"/>
        </w:rPr>
      </w:pPr>
      <w:r w:rsidRPr="003218A0">
        <w:rPr>
          <w:rFonts w:ascii="Calibri" w:eastAsia="Times New Roman" w:hAnsi="Calibri" w:cs="Calibri"/>
          <w:color w:val="6E6E6E"/>
          <w:sz w:val="20"/>
          <w:szCs w:val="20"/>
          <w:lang w:eastAsia="ru-RU"/>
        </w:rPr>
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хозяйства.</w:t>
      </w:r>
    </w:p>
    <w:p w:rsidR="003218A0" w:rsidRPr="003218A0" w:rsidRDefault="003218A0" w:rsidP="003218A0">
      <w:pPr>
        <w:widowControl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6E6E6E"/>
          <w:sz w:val="20"/>
          <w:szCs w:val="20"/>
          <w:lang w:eastAsia="ru-RU"/>
        </w:rPr>
      </w:pPr>
      <w:r w:rsidRPr="003218A0">
        <w:rPr>
          <w:rFonts w:ascii="Calibri" w:eastAsia="Times New Roman" w:hAnsi="Calibri" w:cs="Calibri"/>
          <w:color w:val="6E6E6E"/>
          <w:sz w:val="20"/>
          <w:szCs w:val="20"/>
          <w:lang w:eastAsia="ru-RU"/>
        </w:rPr>
        <w:t>Юридические лица, в части приобретаемого объема электрической энергии (мощности) в целях потребления осужденными в помещениях для их содержания, при условии наличия раздельного учета для указанных помещений.</w:t>
      </w:r>
    </w:p>
    <w:p w:rsidR="003218A0" w:rsidRPr="003218A0" w:rsidRDefault="003218A0" w:rsidP="003218A0">
      <w:pPr>
        <w:widowControl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6E6E6E"/>
          <w:sz w:val="20"/>
          <w:szCs w:val="20"/>
          <w:lang w:eastAsia="ru-RU"/>
        </w:rPr>
      </w:pPr>
      <w:r w:rsidRPr="003218A0">
        <w:rPr>
          <w:rFonts w:ascii="Calibri" w:eastAsia="Times New Roman" w:hAnsi="Calibri" w:cs="Calibri"/>
          <w:color w:val="6E6E6E"/>
          <w:sz w:val="20"/>
          <w:szCs w:val="20"/>
          <w:lang w:eastAsia="ru-RU"/>
        </w:rPr>
        <w:t>Юридические и физические лица, в части приобретаемого объема электрической энергии (мощности) в целях потребления на коммунально-бытовые нужды в населенных пунктах, жилых зонах при воинских частях, рассчитывающихся по договору энергоснабжения (купли-продажи) по общему счетчику.</w:t>
      </w:r>
    </w:p>
    <w:p w:rsidR="003218A0" w:rsidRPr="003218A0" w:rsidRDefault="003218A0" w:rsidP="003218A0">
      <w:pPr>
        <w:widowControl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6E6E6E"/>
          <w:sz w:val="20"/>
          <w:szCs w:val="20"/>
          <w:lang w:eastAsia="ru-RU"/>
        </w:rPr>
      </w:pPr>
      <w:r w:rsidRPr="003218A0">
        <w:rPr>
          <w:rFonts w:ascii="Calibri" w:eastAsia="Times New Roman" w:hAnsi="Calibri" w:cs="Calibri"/>
          <w:color w:val="6E6E6E"/>
          <w:sz w:val="20"/>
          <w:szCs w:val="20"/>
          <w:lang w:eastAsia="ru-RU"/>
        </w:rPr>
        <w:t>Содержащиеся за счет прихожан религиозные организации.</w:t>
      </w:r>
    </w:p>
    <w:p w:rsidR="003218A0" w:rsidRPr="003218A0" w:rsidRDefault="003218A0" w:rsidP="003218A0">
      <w:pPr>
        <w:widowControl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6E6E6E"/>
          <w:sz w:val="20"/>
          <w:szCs w:val="20"/>
          <w:lang w:eastAsia="ru-RU"/>
        </w:rPr>
      </w:pPr>
      <w:proofErr w:type="gramStart"/>
      <w:r w:rsidRPr="003218A0">
        <w:rPr>
          <w:rFonts w:ascii="Calibri" w:eastAsia="Times New Roman" w:hAnsi="Calibri" w:cs="Calibri"/>
          <w:color w:val="6E6E6E"/>
          <w:sz w:val="20"/>
          <w:szCs w:val="20"/>
          <w:lang w:eastAsia="ru-RU"/>
        </w:rPr>
        <w:t xml:space="preserve">Гарантирующие поставщики, </w:t>
      </w:r>
      <w:proofErr w:type="spellStart"/>
      <w:r w:rsidRPr="003218A0">
        <w:rPr>
          <w:rFonts w:ascii="Calibri" w:eastAsia="Times New Roman" w:hAnsi="Calibri" w:cs="Calibri"/>
          <w:color w:val="6E6E6E"/>
          <w:sz w:val="20"/>
          <w:szCs w:val="20"/>
          <w:lang w:eastAsia="ru-RU"/>
        </w:rPr>
        <w:t>энергосбытовые</w:t>
      </w:r>
      <w:proofErr w:type="spellEnd"/>
      <w:r w:rsidRPr="003218A0">
        <w:rPr>
          <w:rFonts w:ascii="Calibri" w:eastAsia="Times New Roman" w:hAnsi="Calibri" w:cs="Calibri"/>
          <w:color w:val="6E6E6E"/>
          <w:sz w:val="20"/>
          <w:szCs w:val="20"/>
          <w:lang w:eastAsia="ru-RU"/>
        </w:rPr>
        <w:t xml:space="preserve">, </w:t>
      </w:r>
      <w:proofErr w:type="spellStart"/>
      <w:r w:rsidRPr="003218A0">
        <w:rPr>
          <w:rFonts w:ascii="Calibri" w:eastAsia="Times New Roman" w:hAnsi="Calibri" w:cs="Calibri"/>
          <w:color w:val="6E6E6E"/>
          <w:sz w:val="20"/>
          <w:szCs w:val="20"/>
          <w:lang w:eastAsia="ru-RU"/>
        </w:rPr>
        <w:t>энергоснабжающие</w:t>
      </w:r>
      <w:proofErr w:type="spellEnd"/>
      <w:r w:rsidRPr="003218A0">
        <w:rPr>
          <w:rFonts w:ascii="Calibri" w:eastAsia="Times New Roman" w:hAnsi="Calibri" w:cs="Calibri"/>
          <w:color w:val="6E6E6E"/>
          <w:sz w:val="20"/>
          <w:szCs w:val="20"/>
          <w:lang w:eastAsia="ru-RU"/>
        </w:rPr>
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используемого для осуществления коммерческой (профессиональной) деятельности.</w:t>
      </w:r>
      <w:proofErr w:type="gramEnd"/>
    </w:p>
    <w:p w:rsidR="003218A0" w:rsidRPr="003218A0" w:rsidRDefault="003218A0" w:rsidP="003218A0">
      <w:pPr>
        <w:widowControl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6E6E6E"/>
          <w:sz w:val="20"/>
          <w:szCs w:val="20"/>
          <w:lang w:eastAsia="ru-RU"/>
        </w:rPr>
      </w:pPr>
      <w:r w:rsidRPr="003218A0">
        <w:rPr>
          <w:rFonts w:ascii="Calibri" w:eastAsia="Times New Roman" w:hAnsi="Calibri" w:cs="Calibri"/>
          <w:color w:val="6E6E6E"/>
          <w:sz w:val="20"/>
          <w:szCs w:val="20"/>
          <w:lang w:eastAsia="ru-RU"/>
        </w:rPr>
        <w:t>Хозяйственные постройки физических лиц (погреба, сараи и иные сооружения аналогичного назначения).</w:t>
      </w:r>
    </w:p>
    <w:p w:rsidR="003218A0" w:rsidRPr="003218A0" w:rsidRDefault="003218A0" w:rsidP="003218A0">
      <w:pPr>
        <w:widowControl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6E6E6E"/>
          <w:sz w:val="20"/>
          <w:szCs w:val="20"/>
          <w:lang w:eastAsia="ru-RU"/>
        </w:rPr>
      </w:pPr>
      <w:r w:rsidRPr="003218A0">
        <w:rPr>
          <w:rFonts w:ascii="Calibri" w:eastAsia="Times New Roman" w:hAnsi="Calibri" w:cs="Calibri"/>
          <w:color w:val="6E6E6E"/>
          <w:sz w:val="20"/>
          <w:szCs w:val="20"/>
          <w:lang w:eastAsia="ru-RU"/>
        </w:rPr>
        <w:t>Некоммерческие объединения граждан (гаражно-строительные, гаражные кооперативы) и отдельно стоящие гаражи, принадлежащие гражданам, в части приобретаемого объема электрической энергии в целях потребления на коммунально-бытовые нужды граждан и не используемого для осуществления коммерческой деятельности.</w:t>
      </w:r>
    </w:p>
    <w:p w:rsidR="003218A0" w:rsidRPr="003218A0" w:rsidRDefault="003218A0" w:rsidP="003218A0">
      <w:pPr>
        <w:widowControl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6E6E6E"/>
          <w:sz w:val="20"/>
          <w:szCs w:val="20"/>
          <w:lang w:eastAsia="ru-RU"/>
        </w:rPr>
      </w:pPr>
      <w:r w:rsidRPr="003218A0">
        <w:rPr>
          <w:rFonts w:ascii="Calibri" w:eastAsia="Times New Roman" w:hAnsi="Calibri" w:cs="Calibri"/>
          <w:color w:val="6E6E6E"/>
          <w:sz w:val="20"/>
          <w:szCs w:val="20"/>
          <w:lang w:eastAsia="ru-RU"/>
        </w:rPr>
        <w:t> Примечание:</w:t>
      </w:r>
    </w:p>
    <w:p w:rsidR="003218A0" w:rsidRPr="003218A0" w:rsidRDefault="003218A0" w:rsidP="003218A0">
      <w:pPr>
        <w:widowControl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6E6E6E"/>
          <w:sz w:val="20"/>
          <w:szCs w:val="20"/>
          <w:lang w:eastAsia="ru-RU"/>
        </w:rPr>
      </w:pPr>
      <w:r w:rsidRPr="003218A0">
        <w:rPr>
          <w:rFonts w:ascii="Calibri" w:eastAsia="Times New Roman" w:hAnsi="Calibri" w:cs="Calibri"/>
          <w:color w:val="6E6E6E"/>
          <w:sz w:val="20"/>
          <w:szCs w:val="20"/>
          <w:lang w:eastAsia="ru-RU"/>
        </w:rPr>
        <w:t xml:space="preserve"> 1. Интервалы тарифных зон суток для расчетов по тарифам дифференцируются по зонам суток, в соответствии с </w:t>
      </w:r>
      <w:hyperlink r:id="rId12" w:history="1">
        <w:r w:rsidRPr="003218A0">
          <w:rPr>
            <w:rFonts w:ascii="Calibri" w:eastAsia="Times New Roman" w:hAnsi="Calibri" w:cs="Calibri"/>
            <w:sz w:val="20"/>
            <w:szCs w:val="20"/>
            <w:lang w:eastAsia="ru-RU"/>
          </w:rPr>
          <w:t>приказом</w:t>
        </w:r>
      </w:hyperlink>
      <w:r w:rsidRPr="003218A0">
        <w:rPr>
          <w:rFonts w:ascii="Calibri" w:eastAsia="Times New Roman" w:hAnsi="Calibri" w:cs="Calibri"/>
          <w:color w:val="6E6E6E"/>
          <w:sz w:val="20"/>
          <w:szCs w:val="20"/>
          <w:lang w:eastAsia="ru-RU"/>
        </w:rPr>
        <w:t xml:space="preserve"> Федеральной службы по тарифам от 27.09.2012 N 643-э "Об интервалах тарифных зон суток для </w:t>
      </w:r>
      <w:proofErr w:type="spellStart"/>
      <w:r w:rsidRPr="003218A0">
        <w:rPr>
          <w:rFonts w:ascii="Calibri" w:eastAsia="Times New Roman" w:hAnsi="Calibri" w:cs="Calibri"/>
          <w:color w:val="6E6E6E"/>
          <w:sz w:val="20"/>
          <w:szCs w:val="20"/>
          <w:lang w:eastAsia="ru-RU"/>
        </w:rPr>
        <w:t>энергозон</w:t>
      </w:r>
      <w:proofErr w:type="spellEnd"/>
      <w:r w:rsidRPr="003218A0">
        <w:rPr>
          <w:rFonts w:ascii="Calibri" w:eastAsia="Times New Roman" w:hAnsi="Calibri" w:cs="Calibri"/>
          <w:color w:val="6E6E6E"/>
          <w:sz w:val="20"/>
          <w:szCs w:val="20"/>
          <w:lang w:eastAsia="ru-RU"/>
        </w:rPr>
        <w:t xml:space="preserve"> (ОЭС) России по месяцам 2012 года".</w:t>
      </w:r>
    </w:p>
    <w:p w:rsidR="00514D48" w:rsidRDefault="00514D48" w:rsidP="003218A0">
      <w:pPr>
        <w:jc w:val="both"/>
      </w:pPr>
    </w:p>
    <w:sectPr w:rsidR="00514D48" w:rsidSect="003218A0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8A0"/>
    <w:rsid w:val="003218A0"/>
    <w:rsid w:val="0051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8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8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9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0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8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ostok-electra.ru/" TargetMode="External"/><Relationship Id="rId12" Type="http://schemas.openxmlformats.org/officeDocument/2006/relationships/hyperlink" Target="consultantplus://offline/ref=A23EE2574A9BA2F9F4BC97577D8E8557EAD694749349B264E54E7118EEtArC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tesbyt.ru/itariff/470" TargetMode="External"/><Relationship Id="rId5" Type="http://schemas.openxmlformats.org/officeDocument/2006/relationships/hyperlink" Target="http://tesbyt.ru/" TargetMode="External"/><Relationship Id="rId10" Type="http://schemas.openxmlformats.org/officeDocument/2006/relationships/hyperlink" Target="http://tesbyt.ru/itariff/4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sbyt.ru/itariff/47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1011</Words>
  <Characters>5768</Characters>
  <Application>Microsoft Office Word</Application>
  <DocSecurity>0</DocSecurity>
  <Lines>48</Lines>
  <Paragraphs>13</Paragraphs>
  <ScaleCrop>false</ScaleCrop>
  <Company>MICROSOFT</Company>
  <LinksUpToDate>false</LinksUpToDate>
  <CharactersWithSpaces>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2</cp:revision>
  <dcterms:created xsi:type="dcterms:W3CDTF">2015-03-12T06:14:00Z</dcterms:created>
  <dcterms:modified xsi:type="dcterms:W3CDTF">2015-03-12T06:17:00Z</dcterms:modified>
</cp:coreProperties>
</file>